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53D7" w14:textId="77777777" w:rsidR="00214DD1" w:rsidRPr="004534EA" w:rsidRDefault="00214DD1" w:rsidP="005B5E18">
      <w:pPr>
        <w:spacing w:line="240" w:lineRule="auto"/>
        <w:rPr>
          <w:rFonts w:ascii="TimesNewRoman" w:eastAsia="Times New Roman" w:hAnsi="TimesNewRoman" w:cs="Times New Roman"/>
          <w:b/>
          <w:i/>
          <w:iCs/>
          <w:color w:val="000000"/>
          <w:lang w:eastAsia="de-CH"/>
        </w:rPr>
      </w:pPr>
      <w:r>
        <w:rPr>
          <w:rFonts w:ascii="TimesNewRoman" w:eastAsia="Times New Roman" w:hAnsi="TimesNewRoman" w:cs="Times New Roman"/>
          <w:b/>
          <w:iCs/>
          <w:color w:val="000000"/>
          <w:lang w:eastAsia="de-CH"/>
        </w:rPr>
        <w:t>Publications</w:t>
      </w:r>
    </w:p>
    <w:p w14:paraId="372147DB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12CE73DA" w14:textId="77777777" w:rsidR="00214DD1" w:rsidRPr="00BB4FEB" w:rsidRDefault="00214DD1" w:rsidP="005B5E18">
      <w:pPr>
        <w:spacing w:line="240" w:lineRule="auto"/>
        <w:rPr>
          <w:rFonts w:ascii="TimesNewRoman" w:eastAsia="Times New Roman" w:hAnsi="TimesNewRoman" w:cs="Times New Roman"/>
          <w:bCs/>
          <w:iCs/>
          <w:lang w:eastAsia="de-CH"/>
        </w:rPr>
      </w:pPr>
      <w:r>
        <w:rPr>
          <w:rFonts w:ascii="TimesNewRoman" w:eastAsia="Times New Roman" w:hAnsi="TimesNewRoman" w:cs="Times New Roman"/>
          <w:iCs/>
          <w:color w:val="000000"/>
          <w:lang w:eastAsia="de-CH"/>
        </w:rPr>
        <w:t>Diem Hans-Jakob, 25 Jahre M&amp;A, in: Diem Hans-Jakob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), </w:t>
      </w:r>
      <w:r w:rsidRPr="0040560A">
        <w:rPr>
          <w:rFonts w:ascii="TimesNewRoman" w:eastAsia="Times New Roman" w:hAnsi="TimesNewRoman" w:cs="Times New Roman"/>
          <w:bCs/>
          <w:iCs/>
          <w:lang w:eastAsia="de-CH"/>
        </w:rPr>
        <w:t xml:space="preserve">Neueste M&amp;A-Entwicklungen </w:t>
      </w:r>
      <w:r w:rsidR="005B5E18">
        <w:rPr>
          <w:rFonts w:ascii="TimesNewRoman" w:eastAsia="Times New Roman" w:hAnsi="TimesNewRoman" w:cs="Times New Roman"/>
          <w:bCs/>
          <w:iCs/>
          <w:lang w:eastAsia="de-CH"/>
        </w:rPr>
        <w:t>-</w:t>
      </w:r>
      <w:r w:rsidRPr="0040560A">
        <w:rPr>
          <w:rFonts w:ascii="TimesNewRoman" w:eastAsia="Times New Roman" w:hAnsi="TimesNewRoman" w:cs="Times New Roman"/>
          <w:bCs/>
          <w:iCs/>
          <w:lang w:eastAsia="de-CH"/>
        </w:rPr>
        <w:t xml:space="preserve"> von Fachleuten kommentiert</w:t>
      </w:r>
      <w:r>
        <w:rPr>
          <w:rFonts w:ascii="TimesNewRoman" w:eastAsia="Times New Roman" w:hAnsi="TimesNewRoman" w:cs="Times New Roman"/>
          <w:bCs/>
          <w:iCs/>
          <w:lang w:eastAsia="de-CH"/>
        </w:rPr>
        <w:t xml:space="preserve">, </w:t>
      </w:r>
      <w:r w:rsidRPr="00BB4FEB">
        <w:rPr>
          <w:rFonts w:ascii="TimesNewRoman" w:eastAsia="Times New Roman" w:hAnsi="TimesNewRoman" w:cs="Times New Roman"/>
          <w:bCs/>
          <w:iCs/>
          <w:lang w:eastAsia="de-CH"/>
        </w:rPr>
        <w:t>Mergers &amp; Acquisitions</w:t>
      </w:r>
      <w:r>
        <w:rPr>
          <w:rFonts w:ascii="TimesNewRoman" w:eastAsia="Times New Roman" w:hAnsi="TimesNewRoman" w:cs="Times New Roman"/>
          <w:bCs/>
          <w:iCs/>
          <w:lang w:eastAsia="de-CH"/>
        </w:rPr>
        <w:t xml:space="preserve"> </w:t>
      </w:r>
      <w:r w:rsidRPr="00BB4FEB">
        <w:rPr>
          <w:rFonts w:ascii="TimesNewRoman" w:eastAsia="Times New Roman" w:hAnsi="TimesNewRoman" w:cs="Times New Roman"/>
          <w:bCs/>
          <w:iCs/>
          <w:lang w:eastAsia="de-CH"/>
        </w:rPr>
        <w:t>XXV, Zürich</w:t>
      </w:r>
      <w:r>
        <w:rPr>
          <w:rFonts w:ascii="TimesNewRoman" w:eastAsia="Times New Roman" w:hAnsi="TimesNewRoman" w:cs="Times New Roman"/>
          <w:bCs/>
          <w:iCs/>
          <w:lang w:eastAsia="de-CH"/>
        </w:rPr>
        <w:t>/Basel/Genf</w:t>
      </w:r>
      <w:r w:rsidR="00341EB1">
        <w:rPr>
          <w:rFonts w:ascii="TimesNewRoman" w:eastAsia="Times New Roman" w:hAnsi="TimesNewRoman" w:cs="Times New Roman"/>
          <w:bCs/>
          <w:iCs/>
          <w:lang w:eastAsia="de-CH"/>
        </w:rPr>
        <w:t xml:space="preserve"> 2023</w:t>
      </w:r>
      <w:r w:rsidR="00156C5C">
        <w:rPr>
          <w:rFonts w:ascii="TimesNewRoman" w:eastAsia="Times New Roman" w:hAnsi="TimesNewRoman" w:cs="Times New Roman"/>
          <w:bCs/>
          <w:iCs/>
          <w:lang w:eastAsia="de-CH"/>
        </w:rPr>
        <w:t>, 35 et seq</w:t>
      </w:r>
      <w:r w:rsidRPr="00BB4FEB">
        <w:rPr>
          <w:rFonts w:ascii="TimesNewRoman" w:eastAsia="Times New Roman" w:hAnsi="TimesNewRoman" w:cs="Times New Roman"/>
          <w:bCs/>
          <w:iCs/>
          <w:lang w:eastAsia="de-CH"/>
        </w:rPr>
        <w:t>.</w:t>
      </w:r>
    </w:p>
    <w:p w14:paraId="153F3D20" w14:textId="77777777" w:rsidR="00214DD1" w:rsidRPr="00BB4FEB" w:rsidRDefault="00214DD1" w:rsidP="005B5E18">
      <w:pPr>
        <w:spacing w:line="240" w:lineRule="auto"/>
        <w:rPr>
          <w:rFonts w:ascii="TimesNewRoman" w:eastAsia="Times New Roman" w:hAnsi="TimesNewRoman" w:cs="Times New Roman"/>
          <w:bCs/>
          <w:iCs/>
          <w:lang w:eastAsia="de-CH"/>
        </w:rPr>
      </w:pPr>
    </w:p>
    <w:p w14:paraId="3618C0AE" w14:textId="77777777" w:rsidR="00214DD1" w:rsidRPr="0040560A" w:rsidRDefault="00214DD1" w:rsidP="005B5E18">
      <w:pPr>
        <w:spacing w:line="240" w:lineRule="auto"/>
        <w:rPr>
          <w:rFonts w:ascii="TimesNewRoman" w:eastAsia="Times New Roman" w:hAnsi="TimesNewRoman" w:cs="Times New Roman"/>
          <w:bCs/>
          <w:iCs/>
          <w:lang w:val="en-US" w:eastAsia="de-CH"/>
        </w:rPr>
      </w:pPr>
      <w:r w:rsidRPr="0040560A">
        <w:rPr>
          <w:lang w:val="en-US"/>
        </w:rPr>
        <w:t>Diem H</w:t>
      </w:r>
      <w:r>
        <w:rPr>
          <w:lang w:val="en-US"/>
        </w:rPr>
        <w:t>ans-Jakob/</w:t>
      </w:r>
      <w:r w:rsidRPr="0040560A">
        <w:rPr>
          <w:lang w:val="en-US"/>
        </w:rPr>
        <w:t>Rötheli A</w:t>
      </w:r>
      <w:r>
        <w:rPr>
          <w:lang w:val="en-US"/>
        </w:rPr>
        <w:t>ndreas</w:t>
      </w:r>
      <w:r w:rsidRPr="0040560A">
        <w:rPr>
          <w:lang w:val="en-US"/>
        </w:rPr>
        <w:t>, The Mergers &amp; Acquisitions Review - Switzerland, in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Zerdin</w:t>
      </w:r>
      <w:proofErr w:type="spellEnd"/>
      <w:r>
        <w:rPr>
          <w:lang w:val="en-US"/>
        </w:rPr>
        <w:t xml:space="preserve"> Mark (</w:t>
      </w:r>
      <w:r w:rsidR="00093DEB">
        <w:rPr>
          <w:lang w:val="en-US"/>
        </w:rPr>
        <w:t>ed.</w:t>
      </w:r>
      <w:r>
        <w:rPr>
          <w:lang w:val="en-US"/>
        </w:rPr>
        <w:t>),</w:t>
      </w:r>
      <w:r w:rsidRPr="0040560A">
        <w:rPr>
          <w:lang w:val="en-US"/>
        </w:rPr>
        <w:t xml:space="preserve"> The </w:t>
      </w:r>
      <w:r>
        <w:rPr>
          <w:lang w:val="en-US"/>
        </w:rPr>
        <w:t>Mergers &amp; Acquisitions Review</w:t>
      </w:r>
      <w:r w:rsidRPr="0040560A">
        <w:rPr>
          <w:lang w:val="en-US"/>
        </w:rPr>
        <w:t>, 16</w:t>
      </w:r>
      <w:r w:rsidRPr="00765FB5">
        <w:rPr>
          <w:vertAlign w:val="superscript"/>
          <w:lang w:val="en-US"/>
        </w:rPr>
        <w:t>th</w:t>
      </w:r>
      <w:r w:rsidRPr="0040560A">
        <w:rPr>
          <w:lang w:val="en-US"/>
        </w:rPr>
        <w:t xml:space="preserve"> </w:t>
      </w:r>
      <w:r w:rsidR="00093DEB">
        <w:rPr>
          <w:lang w:val="en-US"/>
        </w:rPr>
        <w:t>ed.</w:t>
      </w:r>
      <w:r w:rsidRPr="0040560A">
        <w:rPr>
          <w:lang w:val="en-US"/>
        </w:rPr>
        <w:t xml:space="preserve">, </w:t>
      </w:r>
      <w:r>
        <w:rPr>
          <w:lang w:val="en-US"/>
        </w:rPr>
        <w:t>London</w:t>
      </w:r>
      <w:r w:rsidRPr="0040560A">
        <w:rPr>
          <w:lang w:val="en-US"/>
        </w:rPr>
        <w:t xml:space="preserve"> 2023, 384</w:t>
      </w:r>
      <w:r w:rsidR="00341EB1">
        <w:rPr>
          <w:lang w:val="en-US"/>
        </w:rPr>
        <w:t xml:space="preserve"> et seq.</w:t>
      </w:r>
    </w:p>
    <w:p w14:paraId="6EA494B2" w14:textId="77777777" w:rsidR="00214DD1" w:rsidRPr="0040560A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3AE9676D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Diem Hans-Jakob, Öffentli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che Kaufangebote </w:t>
      </w:r>
      <w:r w:rsidR="005B5E18">
        <w:rPr>
          <w:rFonts w:ascii="TimesNewRoman" w:eastAsia="Times New Roman" w:hAnsi="TimesNewRoman" w:cs="Times New Roman"/>
          <w:iCs/>
          <w:color w:val="000000"/>
          <w:lang w:eastAsia="de-CH"/>
        </w:rPr>
        <w:t>-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neueste Entwicklungen, in: Diem Hans-Jakob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), Mergers &amp; Acquisitions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XXIV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, Zürich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/Basel/Genf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2022, 9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seq.</w:t>
      </w:r>
    </w:p>
    <w:p w14:paraId="273196B1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346ED2D4" w14:textId="77777777" w:rsidR="00214DD1" w:rsidRPr="00DE25A7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Diem Hans-Jakob, M&amp;A in </w:t>
      </w:r>
      <w:proofErr w:type="spellStart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Uncertain</w:t>
      </w:r>
      <w:proofErr w:type="spellEnd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Times: </w:t>
      </w:r>
      <w:proofErr w:type="spellStart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No</w:t>
      </w:r>
      <w:proofErr w:type="spellEnd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MAC und andere Exit-Möglichkeiten aus M&amp;A-Transaktionen, in: Diem Hans-Jakob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), </w:t>
      </w:r>
      <w:r w:rsidRPr="00DE25A7">
        <w:rPr>
          <w:rFonts w:ascii="TimesNewRoman" w:eastAsia="Times New Roman" w:hAnsi="TimesNewRoman" w:cs="Times New Roman"/>
          <w:iCs/>
          <w:color w:val="000000"/>
          <w:lang w:eastAsia="de-CH"/>
        </w:rPr>
        <w:t>Mer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gers &amp; Acquisitions XXIII, Zürich/Basel/Genf 2020</w:t>
      </w:r>
      <w:r w:rsidRPr="00DE25A7">
        <w:rPr>
          <w:rFonts w:ascii="TimesNewRoman" w:eastAsia="Times New Roman" w:hAnsi="TimesNewRoman" w:cs="Times New Roman"/>
          <w:iCs/>
          <w:color w:val="000000"/>
          <w:lang w:eastAsia="de-CH"/>
        </w:rPr>
        <w:t>, 9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</w:t>
      </w:r>
      <w:r w:rsidRPr="00DE25A7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</w:p>
    <w:p w14:paraId="1A9AD04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403515A6" w14:textId="77777777" w:rsidR="00214DD1" w:rsidRPr="00765FB5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  <w:r w:rsidRPr="00765FB5">
        <w:rPr>
          <w:lang w:val="en-US"/>
        </w:rPr>
        <w:t>Diem H</w:t>
      </w:r>
      <w:r>
        <w:rPr>
          <w:lang w:val="en-US"/>
        </w:rPr>
        <w:t>ans-Jakob/</w:t>
      </w:r>
      <w:r w:rsidRPr="00765FB5">
        <w:rPr>
          <w:lang w:val="en-US"/>
        </w:rPr>
        <w:t>Gaberthüel T</w:t>
      </w:r>
      <w:r>
        <w:rPr>
          <w:lang w:val="en-US"/>
        </w:rPr>
        <w:t>ino</w:t>
      </w:r>
      <w:r w:rsidRPr="00765FB5">
        <w:rPr>
          <w:lang w:val="en-US"/>
        </w:rPr>
        <w:t xml:space="preserve">, The Corporate Governance Review - Switzerland, in: </w:t>
      </w:r>
      <w:r>
        <w:rPr>
          <w:lang w:val="en-US"/>
        </w:rPr>
        <w:t>Zijp Petra (</w:t>
      </w:r>
      <w:r w:rsidR="00093DEB">
        <w:rPr>
          <w:lang w:val="en-US"/>
        </w:rPr>
        <w:t>ed.</w:t>
      </w:r>
      <w:r>
        <w:rPr>
          <w:lang w:val="en-US"/>
        </w:rPr>
        <w:t xml:space="preserve">), </w:t>
      </w:r>
      <w:r w:rsidRPr="00765FB5">
        <w:rPr>
          <w:lang w:val="en-US"/>
        </w:rPr>
        <w:t>The Corporate Governance Review, 12</w:t>
      </w:r>
      <w:r w:rsidRPr="00765FB5">
        <w:rPr>
          <w:vertAlign w:val="superscript"/>
          <w:lang w:val="en-US"/>
        </w:rPr>
        <w:t>th</w:t>
      </w:r>
      <w:r w:rsidRPr="00765FB5">
        <w:rPr>
          <w:lang w:val="en-US"/>
        </w:rPr>
        <w:t xml:space="preserve"> </w:t>
      </w:r>
      <w:r w:rsidR="00093DEB">
        <w:rPr>
          <w:lang w:val="en-US"/>
        </w:rPr>
        <w:t>ed.</w:t>
      </w:r>
      <w:r w:rsidRPr="00765FB5">
        <w:rPr>
          <w:lang w:val="en-US"/>
        </w:rPr>
        <w:t xml:space="preserve">, </w:t>
      </w:r>
      <w:r>
        <w:rPr>
          <w:lang w:val="en-US"/>
        </w:rPr>
        <w:t>London</w:t>
      </w:r>
      <w:r w:rsidRPr="00765FB5">
        <w:rPr>
          <w:lang w:val="en-US"/>
        </w:rPr>
        <w:t xml:space="preserve"> 2022, 277</w:t>
      </w:r>
      <w:r w:rsidR="00341EB1">
        <w:rPr>
          <w:lang w:val="en-US"/>
        </w:rPr>
        <w:t xml:space="preserve"> et seq</w:t>
      </w:r>
      <w:r>
        <w:rPr>
          <w:lang w:val="en-US"/>
        </w:rPr>
        <w:t>.</w:t>
      </w:r>
    </w:p>
    <w:p w14:paraId="4F8C63AF" w14:textId="77777777" w:rsidR="00214DD1" w:rsidRPr="00765FB5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57D91D5E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Diem Hans-Jakob, Leistungsstörungen und Rechtsbehelfe im Unternehmenskauf, in: Diem Hans-Jakob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), 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Mergers &amp; Acquisitions XXII, Zürich/Basel/Genf 2021, 7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</w:p>
    <w:p w14:paraId="3F489576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5E9AA270" w14:textId="77777777" w:rsidR="00214DD1" w:rsidRPr="00176000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Tschäni Rudolf/Diem Hans-Jakob/Wolf Matthias, M&amp;A-Transaktionen nach Schweizer Recht, 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>3</w:t>
      </w:r>
      <w:r w:rsidR="00341EB1" w:rsidRPr="0035717D">
        <w:rPr>
          <w:rFonts w:ascii="TimesNewRoman" w:eastAsia="Times New Roman" w:hAnsi="TimesNewRoman" w:cs="Times New Roman"/>
          <w:iCs/>
          <w:color w:val="000000"/>
          <w:vertAlign w:val="superscript"/>
          <w:lang w:eastAsia="de-CH"/>
        </w:rPr>
        <w:t>rd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, Zürich 2021.</w:t>
      </w:r>
    </w:p>
    <w:p w14:paraId="6D5682F8" w14:textId="77777777" w:rsidR="00214DD1" w:rsidRPr="00176000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2AEB4D98" w14:textId="77777777" w:rsidR="00214DD1" w:rsidRPr="00176000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Diem Hans-Jakob, Der selektive Aktienrückkauf, in: Jung Peter/Krauskopf </w:t>
      </w:r>
      <w:proofErr w:type="spellStart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Fédéric</w:t>
      </w:r>
      <w:proofErr w:type="spellEnd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/Cramer Conradin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eds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), Theorie und Praxis des Unternehmensrecht, Festschrift zu Ehren von Lukas Handschin, Zürich 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2020, 117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seq.</w:t>
      </w:r>
    </w:p>
    <w:p w14:paraId="200C907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1D0F13AD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>
        <w:t>Diem Hans-Jakob/Schärli Patrick, Exit von Aktienbeteiligungen über den Kapitalmarkt, in: Reutter Thomas/Werlen Thomas (</w:t>
      </w:r>
      <w:proofErr w:type="spellStart"/>
      <w:r w:rsidR="00093DEB">
        <w:t>eds</w:t>
      </w:r>
      <w:proofErr w:type="spellEnd"/>
      <w:r w:rsidR="00093DEB">
        <w:t>.</w:t>
      </w:r>
      <w:r>
        <w:t>), Innovation und Disruption: Sanierungen, Exits, LIBOR-Ablösung und Blockchain, 16. Tagung zu Kapitalmarkt - Recht und Transaktionen, Zurich 2021, 104</w:t>
      </w:r>
      <w:r w:rsidR="00341EB1">
        <w:t xml:space="preserve"> et seq</w:t>
      </w:r>
      <w:r>
        <w:t>.</w:t>
      </w:r>
    </w:p>
    <w:p w14:paraId="6672A3A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56FCDBF0" w14:textId="77777777" w:rsidR="00214DD1" w:rsidRDefault="00214DD1" w:rsidP="005B5E18">
      <w:pPr>
        <w:spacing w:line="240" w:lineRule="auto"/>
      </w:pPr>
      <w:r>
        <w:t>Diem Hans-Jakob/Ehrsam Simone, Gesellschaftsrecht, in: Helbing Lichtenhahn Verlag (</w:t>
      </w:r>
      <w:proofErr w:type="spellStart"/>
      <w:r w:rsidR="00093DEB">
        <w:t>ed</w:t>
      </w:r>
      <w:proofErr w:type="spellEnd"/>
      <w:r w:rsidR="00093DEB">
        <w:t>.</w:t>
      </w:r>
      <w:r>
        <w:t>), COVID-19 - Ein Panorama der Rechtsfragen zur Corona-Krise, Basel 2020, 363</w:t>
      </w:r>
      <w:r w:rsidR="00341EB1">
        <w:t xml:space="preserve"> et seq</w:t>
      </w:r>
      <w:r>
        <w:t>.</w:t>
      </w:r>
    </w:p>
    <w:p w14:paraId="3D8E6EB7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1C3A24DF" w14:textId="77777777" w:rsidR="00214DD1" w:rsidRPr="00765FB5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  <w:r w:rsidRPr="00995F26">
        <w:rPr>
          <w:lang w:val="en-US"/>
        </w:rPr>
        <w:t>Diem Hans-Jakob/Gaberthüel Tino, Mergers &amp; Acquisitions 2020 - Switzerland, in: The Legal 500 (</w:t>
      </w:r>
      <w:r w:rsidR="00093DEB">
        <w:rPr>
          <w:lang w:val="en-US"/>
        </w:rPr>
        <w:t>ed.</w:t>
      </w:r>
      <w:r w:rsidRPr="00995F26">
        <w:rPr>
          <w:lang w:val="en-US"/>
        </w:rPr>
        <w:t>), Country Comparative Guides, Mergers &amp; Acquisitions</w:t>
      </w:r>
      <w:r>
        <w:rPr>
          <w:lang w:val="en-US"/>
        </w:rPr>
        <w:t>, London</w:t>
      </w:r>
      <w:r w:rsidRPr="00995F26">
        <w:rPr>
          <w:lang w:val="en-US"/>
        </w:rPr>
        <w:t xml:space="preserve"> 2020</w:t>
      </w:r>
      <w:r>
        <w:rPr>
          <w:lang w:val="en-US"/>
        </w:rPr>
        <w:t>.</w:t>
      </w:r>
    </w:p>
    <w:p w14:paraId="7DA52FF0" w14:textId="77777777" w:rsidR="00214DD1" w:rsidRPr="00765FB5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452CFB7B" w14:textId="77777777" w:rsidR="00214DD1" w:rsidRPr="00176000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Tschäni Rudolf/Diem Hans-Jakob/Gaberthüel Tino, Öffentliche Kaufangebote, 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>4</w:t>
      </w:r>
      <w:r w:rsidR="004631A8" w:rsidRPr="0035717D">
        <w:rPr>
          <w:rFonts w:ascii="TimesNewRoman" w:eastAsia="Times New Roman" w:hAnsi="TimesNewRoman" w:cs="Times New Roman"/>
          <w:iCs/>
          <w:color w:val="000000"/>
          <w:vertAlign w:val="superscript"/>
          <w:lang w:eastAsia="de-CH"/>
        </w:rPr>
        <w:t>th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 w:rsidR="004631A8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, 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Zürich 2020.</w:t>
      </w:r>
    </w:p>
    <w:p w14:paraId="69B869BC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62BD392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>
        <w:rPr>
          <w:rFonts w:ascii="TimesNewRoman" w:eastAsia="Times New Roman" w:hAnsi="TimesNewRoman" w:cs="Times New Roman"/>
          <w:iCs/>
          <w:color w:val="000000"/>
          <w:lang w:eastAsia="de-CH"/>
        </w:rPr>
        <w:t>Diem Hans-Jakob, Reverse Takeovers unter Schweizer Recht, in: Diem Hans-Jakob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), Mergers &amp; Acquisitions XXI, Zürich/Basel/Genf 2019, 7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</w:p>
    <w:p w14:paraId="1046373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70C09BE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6C5B49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Diem Hans-Jakob/Schleiffer Patrick, Proxy Fights, </w:t>
      </w:r>
      <w:proofErr w:type="spellStart"/>
      <w:r w:rsidRPr="006C5B49">
        <w:rPr>
          <w:rFonts w:ascii="TimesNewRoman" w:eastAsia="Times New Roman" w:hAnsi="TimesNewRoman" w:cs="Times New Roman"/>
          <w:iCs/>
          <w:color w:val="000000"/>
          <w:lang w:eastAsia="de-CH"/>
        </w:rPr>
        <w:t>Going</w:t>
      </w:r>
      <w:proofErr w:type="spellEnd"/>
      <w:r w:rsidRPr="006C5B49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Public Ma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gazin 7/2019</w:t>
      </w:r>
      <w:r w:rsidRPr="006C5B49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, 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Kapitalmarkt Schweiz</w:t>
      </w:r>
      <w:r w:rsidRPr="006C5B49">
        <w:rPr>
          <w:rFonts w:ascii="TimesNewRoman" w:eastAsia="Times New Roman" w:hAnsi="TimesNewRoman" w:cs="Times New Roman"/>
          <w:iCs/>
          <w:color w:val="000000"/>
          <w:lang w:eastAsia="de-CH"/>
        </w:rPr>
        <w:t>, 28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</w:t>
      </w:r>
      <w:r w:rsidRPr="006C5B49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</w:p>
    <w:p w14:paraId="282A0134" w14:textId="77777777" w:rsidR="00214DD1" w:rsidRPr="006C5B49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6E7CED59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Tschäni Rudolf/Diem Hans-Jakob, 20 Jahre Megadeals, in: </w:t>
      </w:r>
      <w:proofErr w:type="spellStart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Tschäni</w:t>
      </w:r>
      <w:proofErr w:type="spellEnd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Rudolf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), Mergers &amp; Acquisitions XX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, Züric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h/Basel/Genf 2018, 19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</w:p>
    <w:p w14:paraId="49AA57C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26F67597" w14:textId="77777777" w:rsidR="00214DD1" w:rsidRDefault="00214DD1" w:rsidP="005B5E18">
      <w:pPr>
        <w:spacing w:line="240" w:lineRule="auto"/>
      </w:pPr>
      <w:r w:rsidRPr="00995F26">
        <w:t>Tschäni Rudolf/Diem Hans-Jakob/Iffland Jacques, Art. 2 lit. i, Vor Art. 125 -141, Art. 125-133, 138-141, 152, 153 FinfraG, in: Watter Rolf/Bahar Rashid (</w:t>
      </w:r>
      <w:proofErr w:type="spellStart"/>
      <w:r w:rsidR="00093DEB">
        <w:t>eds</w:t>
      </w:r>
      <w:proofErr w:type="spellEnd"/>
      <w:r w:rsidR="00093DEB">
        <w:t>.</w:t>
      </w:r>
      <w:r w:rsidRPr="00995F26">
        <w:t xml:space="preserve">), Basler Kommentar zum Finanzmarktaufsichtsgesetz und Finanzmarktinfrastrukturgesetz, </w:t>
      </w:r>
      <w:r w:rsidR="00341EB1">
        <w:t>3</w:t>
      </w:r>
      <w:r w:rsidR="00341EB1" w:rsidRPr="0035717D">
        <w:rPr>
          <w:vertAlign w:val="superscript"/>
        </w:rPr>
        <w:t>rd</w:t>
      </w:r>
      <w:r w:rsidR="00341EB1">
        <w:t xml:space="preserve"> </w:t>
      </w:r>
      <w:proofErr w:type="spellStart"/>
      <w:r w:rsidR="00093DEB">
        <w:t>ed</w:t>
      </w:r>
      <w:proofErr w:type="spellEnd"/>
      <w:r w:rsidR="00093DEB">
        <w:t>.</w:t>
      </w:r>
      <w:r w:rsidRPr="00341EB1">
        <w:t>, Basel 2019.</w:t>
      </w:r>
    </w:p>
    <w:p w14:paraId="5809E4D7" w14:textId="77777777" w:rsidR="00454A0F" w:rsidRDefault="00454A0F" w:rsidP="005B5E18">
      <w:pPr>
        <w:spacing w:line="240" w:lineRule="auto"/>
      </w:pPr>
    </w:p>
    <w:p w14:paraId="0E9CF4C9" w14:textId="77777777" w:rsidR="00214DD1" w:rsidRDefault="00214DD1" w:rsidP="005B5E18">
      <w:pPr>
        <w:spacing w:line="240" w:lineRule="auto"/>
        <w:rPr>
          <w:lang w:val="en-US"/>
        </w:rPr>
      </w:pPr>
      <w:r w:rsidRPr="006C5B49">
        <w:rPr>
          <w:lang w:val="en-US"/>
        </w:rPr>
        <w:lastRenderedPageBreak/>
        <w:t>Diem H</w:t>
      </w:r>
      <w:r>
        <w:rPr>
          <w:lang w:val="en-US"/>
        </w:rPr>
        <w:t>ans-Jakob/</w:t>
      </w:r>
      <w:r w:rsidRPr="006C5B49">
        <w:rPr>
          <w:lang w:val="en-US"/>
        </w:rPr>
        <w:t>Iffland J</w:t>
      </w:r>
      <w:r>
        <w:rPr>
          <w:lang w:val="en-US"/>
        </w:rPr>
        <w:t>acques</w:t>
      </w:r>
      <w:r w:rsidRPr="006C5B49">
        <w:rPr>
          <w:lang w:val="en-US"/>
        </w:rPr>
        <w:t xml:space="preserve">, View beyond the Rim of the Plate. Pitfalls for Issuers with Cross-Border Listing, </w:t>
      </w:r>
      <w:r w:rsidRPr="00A15EDF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Going Public </w:t>
      </w:r>
      <w:proofErr w:type="spellStart"/>
      <w:r w:rsidRPr="00A15EDF">
        <w:rPr>
          <w:rFonts w:ascii="TimesNewRoman" w:eastAsia="Times New Roman" w:hAnsi="TimesNewRoman" w:cs="Times New Roman"/>
          <w:iCs/>
          <w:color w:val="000000"/>
          <w:lang w:val="en-US" w:eastAsia="de-CH"/>
        </w:rPr>
        <w:t>Magazin</w:t>
      </w:r>
      <w:proofErr w:type="spellEnd"/>
      <w:r w:rsidRPr="00A15EDF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</w:t>
      </w:r>
      <w:r>
        <w:rPr>
          <w:rFonts w:ascii="TimesNewRoman" w:eastAsia="Times New Roman" w:hAnsi="TimesNewRoman" w:cs="Times New Roman"/>
          <w:iCs/>
          <w:color w:val="000000"/>
          <w:lang w:val="en-US" w:eastAsia="de-CH"/>
        </w:rPr>
        <w:t>8</w:t>
      </w:r>
      <w:r w:rsidRPr="00A15EDF">
        <w:rPr>
          <w:rFonts w:ascii="TimesNewRoman" w:eastAsia="Times New Roman" w:hAnsi="TimesNewRoman" w:cs="Times New Roman"/>
          <w:iCs/>
          <w:color w:val="000000"/>
          <w:lang w:val="en-US" w:eastAsia="de-CH"/>
        </w:rPr>
        <w:t>/</w:t>
      </w:r>
      <w:r>
        <w:rPr>
          <w:rFonts w:ascii="TimesNewRoman" w:eastAsia="Times New Roman" w:hAnsi="TimesNewRoman" w:cs="Times New Roman"/>
          <w:iCs/>
          <w:color w:val="000000"/>
          <w:lang w:val="en-US" w:eastAsia="de-CH"/>
        </w:rPr>
        <w:t>2018</w:t>
      </w:r>
      <w:r w:rsidRPr="00A15EDF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, </w:t>
      </w:r>
      <w:proofErr w:type="spellStart"/>
      <w:r w:rsidRPr="00A15EDF">
        <w:rPr>
          <w:rFonts w:ascii="TimesNewRoman" w:eastAsia="Times New Roman" w:hAnsi="TimesNewRoman" w:cs="Times New Roman"/>
          <w:iCs/>
          <w:color w:val="000000"/>
          <w:lang w:val="en-US" w:eastAsia="de-CH"/>
        </w:rPr>
        <w:t>Kapitalmarkt</w:t>
      </w:r>
      <w:proofErr w:type="spellEnd"/>
      <w:r w:rsidRPr="00A15EDF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Schweiz, </w:t>
      </w:r>
      <w:r>
        <w:rPr>
          <w:rFonts w:ascii="TimesNewRoman" w:eastAsia="Times New Roman" w:hAnsi="TimesNewRoman" w:cs="Times New Roman"/>
          <w:iCs/>
          <w:color w:val="000000"/>
          <w:lang w:val="en-US" w:eastAsia="de-CH"/>
        </w:rPr>
        <w:t>20</w:t>
      </w:r>
      <w:r w:rsidR="00341EB1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et seq</w:t>
      </w:r>
      <w:r>
        <w:rPr>
          <w:lang w:val="en-US"/>
        </w:rPr>
        <w:t>.</w:t>
      </w:r>
    </w:p>
    <w:p w14:paraId="36676CFB" w14:textId="77777777" w:rsidR="00214DD1" w:rsidRDefault="00214DD1" w:rsidP="005B5E18">
      <w:pPr>
        <w:spacing w:line="240" w:lineRule="auto"/>
        <w:rPr>
          <w:lang w:val="en-US"/>
        </w:rPr>
      </w:pPr>
    </w:p>
    <w:p w14:paraId="38CCA83C" w14:textId="77777777" w:rsidR="00214DD1" w:rsidRPr="00995F26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  <w:r w:rsidRPr="00995F26">
        <w:rPr>
          <w:lang w:val="en-US"/>
        </w:rPr>
        <w:t>Diem Hans-Jakob/Gaberthüel Tino, Corporate M&amp;A 2019 - Switzerland, Chambers Global Practice Guides 2018</w:t>
      </w:r>
      <w:r>
        <w:rPr>
          <w:lang w:val="en-US"/>
        </w:rPr>
        <w:t>, 305</w:t>
      </w:r>
      <w:r w:rsidR="00341EB1">
        <w:rPr>
          <w:lang w:val="en-US"/>
        </w:rPr>
        <w:t xml:space="preserve"> et seq</w:t>
      </w:r>
      <w:r>
        <w:rPr>
          <w:lang w:val="en-US"/>
        </w:rPr>
        <w:t>.</w:t>
      </w:r>
    </w:p>
    <w:p w14:paraId="1E5ED17A" w14:textId="77777777" w:rsidR="00214DD1" w:rsidRPr="00995F26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3696FA5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>
        <w:rPr>
          <w:rFonts w:ascii="TimesNewRoman" w:eastAsia="Times New Roman" w:hAnsi="TimesNewRoman" w:cs="Times New Roman"/>
          <w:iCs/>
          <w:color w:val="000000"/>
          <w:lang w:eastAsia="de-CH"/>
        </w:rPr>
        <w:t>Diem Hans-Jakob, Entwicklungen im Börsengesellschaftsrecht, in: Kunz Peter V./Jörg Florian S./</w:t>
      </w:r>
      <w:proofErr w:type="spellStart"/>
      <w:r>
        <w:rPr>
          <w:rFonts w:ascii="TimesNewRoman" w:eastAsia="Times New Roman" w:hAnsi="TimesNewRoman" w:cs="Times New Roman"/>
          <w:iCs/>
          <w:color w:val="000000"/>
          <w:lang w:eastAsia="de-CH"/>
        </w:rPr>
        <w:t>Arter</w:t>
      </w:r>
      <w:proofErr w:type="spellEnd"/>
      <w:r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Oliver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), Entwicklungen im Gesellschaftsrecht XII, Bern 2017, 265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</w:t>
      </w:r>
      <w:r w:rsidRPr="00BC7A50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</w:p>
    <w:p w14:paraId="590E4D8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14C0BB77" w14:textId="77777777" w:rsidR="00214DD1" w:rsidRDefault="00214DD1" w:rsidP="005B5E18">
      <w:pPr>
        <w:spacing w:line="240" w:lineRule="auto"/>
      </w:pPr>
      <w:r>
        <w:t xml:space="preserve">Diem Hans-Jakob, Lippuner Annina, Kapitalbeschaffung mittels </w:t>
      </w:r>
      <w:proofErr w:type="spellStart"/>
      <w:r>
        <w:t>Accelerated</w:t>
      </w:r>
      <w:proofErr w:type="spellEnd"/>
      <w:r>
        <w:t xml:space="preserve"> Bookbuilding, in: Reutter Thomas/Werlen Thomas (</w:t>
      </w:r>
      <w:proofErr w:type="spellStart"/>
      <w:r w:rsidR="00093DEB">
        <w:t>ed</w:t>
      </w:r>
      <w:proofErr w:type="spellEnd"/>
      <w:r w:rsidR="00093DEB">
        <w:t>.</w:t>
      </w:r>
      <w:r>
        <w:t>), Kapitalmarkt - Recht und Transaktionen XII, Zurich/Basel/Genf 2017, 101</w:t>
      </w:r>
      <w:r w:rsidR="00341EB1">
        <w:t xml:space="preserve"> et seq</w:t>
      </w:r>
      <w:r>
        <w:t>.</w:t>
      </w:r>
    </w:p>
    <w:p w14:paraId="40E4770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17B74D9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Tschäni Rudolf/Diem Hans-Jakob, Mindestpreis, Best Price Rule und Angebotspflicht, in </w:t>
      </w:r>
      <w:proofErr w:type="spellStart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Tschäni</w:t>
      </w:r>
      <w:proofErr w:type="spellEnd"/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Rudolf (</w:t>
      </w:r>
      <w:proofErr w:type="spellStart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  <w:r w:rsidRPr="00176000">
        <w:rPr>
          <w:rFonts w:ascii="TimesNewRoman" w:eastAsia="Times New Roman" w:hAnsi="TimesNewRoman" w:cs="Times New Roman"/>
          <w:iCs/>
          <w:color w:val="000000"/>
          <w:lang w:eastAsia="de-CH"/>
        </w:rPr>
        <w:t>), Mergers &amp; Acquisitions XIX, Züri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ch/Basel/Genf 2017, 33</w:t>
      </w:r>
      <w:r w:rsidR="00341EB1">
        <w:rPr>
          <w:rFonts w:ascii="TimesNewRoman" w:eastAsia="Times New Roman" w:hAnsi="TimesNewRoman" w:cs="Times New Roman"/>
          <w:iCs/>
          <w:color w:val="000000"/>
          <w:lang w:eastAsia="de-CH"/>
        </w:rPr>
        <w:t xml:space="preserve"> et seq</w:t>
      </w:r>
      <w:r>
        <w:rPr>
          <w:rFonts w:ascii="TimesNewRoman" w:eastAsia="Times New Roman" w:hAnsi="TimesNewRoman" w:cs="Times New Roman"/>
          <w:iCs/>
          <w:color w:val="000000"/>
          <w:lang w:eastAsia="de-CH"/>
        </w:rPr>
        <w:t>.</w:t>
      </w:r>
    </w:p>
    <w:p w14:paraId="6E2871F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20A92850" w14:textId="77777777" w:rsidR="00214DD1" w:rsidRPr="006C5B49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  <w:r w:rsidRPr="00F511C0">
        <w:rPr>
          <w:lang w:val="en-US"/>
        </w:rPr>
        <w:t>Gaberthüel Tino/Diem Hans-Jakob, Public M&amp;A in Switzerland, India Unleashed - 2017 Legal and Investment Guide, 2017, 126</w:t>
      </w:r>
      <w:r w:rsidR="00341EB1">
        <w:rPr>
          <w:lang w:val="en-US"/>
        </w:rPr>
        <w:t xml:space="preserve"> et seq</w:t>
      </w:r>
      <w:r w:rsidRPr="00F511C0">
        <w:rPr>
          <w:lang w:val="en-US"/>
        </w:rPr>
        <w:t>.</w:t>
      </w:r>
    </w:p>
    <w:p w14:paraId="147C4A39" w14:textId="77777777" w:rsidR="00214DD1" w:rsidRPr="006C5B49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7F383948" w14:textId="77777777" w:rsidR="00214DD1" w:rsidRPr="00460148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  <w:proofErr w:type="spellStart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Tsch</w:t>
      </w:r>
      <w:r w:rsidRPr="00460148">
        <w:rPr>
          <w:rFonts w:ascii="TimesNewRoman" w:eastAsia="Times New Roman" w:hAnsi="TimesNewRoman" w:cs="Times New Roman" w:hint="eastAsia"/>
          <w:iCs/>
          <w:color w:val="000000"/>
          <w:lang w:val="en-US" w:eastAsia="de-CH"/>
        </w:rPr>
        <w:t>ä</w:t>
      </w:r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ni</w:t>
      </w:r>
      <w:proofErr w:type="spellEnd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Rudolf/Diem Hans-Jakob, </w:t>
      </w:r>
      <w:proofErr w:type="spellStart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Interessenkonflikte</w:t>
      </w:r>
      <w:proofErr w:type="spellEnd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in M&amp;A-</w:t>
      </w:r>
      <w:proofErr w:type="spellStart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Transaktionen</w:t>
      </w:r>
      <w:proofErr w:type="spellEnd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, in: </w:t>
      </w:r>
      <w:proofErr w:type="spellStart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Tsch</w:t>
      </w:r>
      <w:r w:rsidRPr="00460148">
        <w:rPr>
          <w:rFonts w:ascii="TimesNewRoman" w:eastAsia="Times New Roman" w:hAnsi="TimesNewRoman" w:cs="Times New Roman" w:hint="eastAsia"/>
          <w:iCs/>
          <w:color w:val="000000"/>
          <w:lang w:val="en-US" w:eastAsia="de-CH"/>
        </w:rPr>
        <w:t>ä</w:t>
      </w:r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ni</w:t>
      </w:r>
      <w:proofErr w:type="spellEnd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Rudolf (</w:t>
      </w:r>
      <w:r w:rsidR="00341EB1"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Editor</w:t>
      </w:r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), Mergers &amp; Acquisitions XVIII, Z</w:t>
      </w:r>
      <w:r w:rsidRPr="00460148">
        <w:rPr>
          <w:rFonts w:ascii="TimesNewRoman" w:eastAsia="Times New Roman" w:hAnsi="TimesNewRoman" w:cs="Times New Roman" w:hint="eastAsia"/>
          <w:iCs/>
          <w:color w:val="000000"/>
          <w:lang w:val="en-US" w:eastAsia="de-CH"/>
        </w:rPr>
        <w:t>ü</w:t>
      </w:r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rich/Basel/</w:t>
      </w:r>
      <w:proofErr w:type="spellStart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Genf</w:t>
      </w:r>
      <w:proofErr w:type="spellEnd"/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2016</w:t>
      </w:r>
      <w:r w:rsidR="00341EB1"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,</w:t>
      </w:r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53</w:t>
      </w:r>
      <w:r w:rsidR="00341EB1"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et seq</w:t>
      </w:r>
      <w:r w:rsidRPr="00460148">
        <w:rPr>
          <w:rFonts w:ascii="TimesNewRoman" w:eastAsia="Times New Roman" w:hAnsi="TimesNewRoman" w:cs="Times New Roman"/>
          <w:iCs/>
          <w:color w:val="000000"/>
          <w:lang w:val="en-US" w:eastAsia="de-CH"/>
        </w:rPr>
        <w:t>.</w:t>
      </w:r>
    </w:p>
    <w:p w14:paraId="2AFA716C" w14:textId="77777777" w:rsidR="00214DD1" w:rsidRPr="00460148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64DE1639" w14:textId="77777777" w:rsidR="00214DD1" w:rsidRDefault="00214DD1" w:rsidP="005B5E18">
      <w:pPr>
        <w:spacing w:line="240" w:lineRule="auto"/>
        <w:rPr>
          <w:lang w:val="en-US"/>
        </w:rPr>
      </w:pPr>
      <w:proofErr w:type="spellStart"/>
      <w:r w:rsidRPr="006C5B49">
        <w:rPr>
          <w:lang w:val="en-US"/>
        </w:rPr>
        <w:t>Tschäni</w:t>
      </w:r>
      <w:proofErr w:type="spellEnd"/>
      <w:r w:rsidRPr="006C5B49">
        <w:rPr>
          <w:lang w:val="en-US"/>
        </w:rPr>
        <w:t xml:space="preserve"> R</w:t>
      </w:r>
      <w:r>
        <w:rPr>
          <w:lang w:val="en-US"/>
        </w:rPr>
        <w:t>udolf/Diem Hans-Jakob</w:t>
      </w:r>
      <w:r w:rsidRPr="006C5B49">
        <w:rPr>
          <w:lang w:val="en-US"/>
        </w:rPr>
        <w:t>, Peculiarities of the Swiss Takeover Law</w:t>
      </w:r>
      <w:r w:rsidR="001434D0">
        <w:rPr>
          <w:lang w:val="en-US"/>
        </w:rPr>
        <w:t>,</w:t>
      </w:r>
      <w:r w:rsidRPr="006C5B49">
        <w:rPr>
          <w:lang w:val="en-US"/>
        </w:rPr>
        <w:t xml:space="preserve"> Going Public </w:t>
      </w:r>
      <w:proofErr w:type="spellStart"/>
      <w:r w:rsidRPr="006C5B49">
        <w:rPr>
          <w:lang w:val="en-US"/>
        </w:rPr>
        <w:t>Magazin</w:t>
      </w:r>
      <w:proofErr w:type="spellEnd"/>
      <w:r>
        <w:rPr>
          <w:lang w:val="en-US"/>
        </w:rPr>
        <w:t xml:space="preserve"> </w:t>
      </w:r>
      <w:r w:rsidR="00454A0F">
        <w:rPr>
          <w:lang w:val="en-US"/>
        </w:rPr>
        <w:t>4/2016</w:t>
      </w:r>
      <w:r w:rsidRPr="006C5B49">
        <w:rPr>
          <w:lang w:val="en-US"/>
        </w:rPr>
        <w:t>, Capi</w:t>
      </w:r>
      <w:r>
        <w:rPr>
          <w:lang w:val="en-US"/>
        </w:rPr>
        <w:t xml:space="preserve">tal Market Switzerland, </w:t>
      </w:r>
      <w:r w:rsidR="00341EB1">
        <w:rPr>
          <w:lang w:val="en-US"/>
        </w:rPr>
        <w:t>2016, 40 et seq</w:t>
      </w:r>
      <w:r>
        <w:rPr>
          <w:lang w:val="en-US"/>
        </w:rPr>
        <w:t>.</w:t>
      </w:r>
    </w:p>
    <w:p w14:paraId="37076851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3239BC93" w14:textId="77777777" w:rsidR="00214DD1" w:rsidRPr="00341EB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Diem Hans-Jakob, Art. 9–11 FusG, in: Watter Rolf/Vogt Nedim Peter/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Rudolf/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Daeniker</w:t>
      </w:r>
      <w:proofErr w:type="spellEnd"/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Daniel 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eds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), Basler Komment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ar zum Fusionsgesetz, 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>2</w:t>
      </w:r>
      <w:r w:rsidR="00341EB1" w:rsidRPr="0035717D">
        <w:rPr>
          <w:rFonts w:ascii="TimesNewRoman" w:eastAsia="Times New Roman" w:hAnsi="TimesNewRoman" w:cs="Times New Roman"/>
          <w:color w:val="000000"/>
          <w:vertAlign w:val="superscript"/>
          <w:lang w:eastAsia="de-CH"/>
        </w:rPr>
        <w:t>nd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341EB1">
        <w:rPr>
          <w:rFonts w:ascii="TimesNewRoman" w:eastAsia="Times New Roman" w:hAnsi="TimesNewRoman" w:cs="Times New Roman"/>
          <w:color w:val="000000"/>
          <w:lang w:eastAsia="de-CH"/>
        </w:rPr>
        <w:t>, Basel 2015.</w:t>
      </w:r>
    </w:p>
    <w:p w14:paraId="6C042260" w14:textId="77777777" w:rsidR="00214DD1" w:rsidRPr="00341EB1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75A7A7F2" w14:textId="77777777" w:rsidR="00214DD1" w:rsidRDefault="00214DD1" w:rsidP="005B5E18">
      <w:pPr>
        <w:spacing w:line="240" w:lineRule="auto"/>
        <w:rPr>
          <w:lang w:val="en-US"/>
        </w:rPr>
      </w:pPr>
      <w:r w:rsidRPr="006C5B49">
        <w:rPr>
          <w:lang w:val="en-US"/>
        </w:rPr>
        <w:t>Diem H</w:t>
      </w:r>
      <w:r>
        <w:rPr>
          <w:lang w:val="en-US"/>
        </w:rPr>
        <w:t>ans-Jakob/</w:t>
      </w:r>
      <w:r w:rsidRPr="006C5B49">
        <w:rPr>
          <w:lang w:val="en-US"/>
        </w:rPr>
        <w:t>Gaberthüel T</w:t>
      </w:r>
      <w:r>
        <w:rPr>
          <w:lang w:val="en-US"/>
        </w:rPr>
        <w:t>ino</w:t>
      </w:r>
      <w:r w:rsidRPr="006C5B49">
        <w:rPr>
          <w:lang w:val="en-US"/>
        </w:rPr>
        <w:t xml:space="preserve">, New Transparency Rules in Respect of Holders of Bearer Shares and Qualified Beneficial Owners of Unlisted Shares of Swiss Companies, in: </w:t>
      </w:r>
      <w:r>
        <w:rPr>
          <w:lang w:val="en-US"/>
        </w:rPr>
        <w:t xml:space="preserve">Swiss Capital Markets Law </w:t>
      </w:r>
      <w:proofErr w:type="spellStart"/>
      <w:r w:rsidRPr="006C5B49">
        <w:rPr>
          <w:lang w:val="en-US"/>
        </w:rPr>
        <w:t>CapLaw</w:t>
      </w:r>
      <w:proofErr w:type="spellEnd"/>
      <w:r w:rsidRPr="006C5B49">
        <w:rPr>
          <w:lang w:val="en-US"/>
        </w:rPr>
        <w:t>, 5/2015, 2</w:t>
      </w:r>
      <w:r w:rsidR="00341EB1">
        <w:rPr>
          <w:lang w:val="en-US"/>
        </w:rPr>
        <w:t xml:space="preserve"> et seq</w:t>
      </w:r>
      <w:r>
        <w:rPr>
          <w:lang w:val="en-US"/>
        </w:rPr>
        <w:t>.</w:t>
      </w:r>
    </w:p>
    <w:p w14:paraId="3BE2DE7C" w14:textId="77777777" w:rsidR="00214DD1" w:rsidRPr="006C5B49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097E005C" w14:textId="77777777" w:rsidR="00214DD1" w:rsidRPr="00995F26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  <w:r w:rsidRPr="00995F26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Tschäni Rudolf/Diem Hans-Jakob, Going Private </w:t>
      </w:r>
      <w:proofErr w:type="spellStart"/>
      <w:r w:rsidRPr="00995F26">
        <w:rPr>
          <w:rFonts w:ascii="TimesNewRoman" w:eastAsia="Times New Roman" w:hAnsi="TimesNewRoman" w:cs="Times New Roman"/>
          <w:iCs/>
          <w:color w:val="000000"/>
          <w:lang w:val="en-US" w:eastAsia="de-CH"/>
        </w:rPr>
        <w:t>durch</w:t>
      </w:r>
      <w:proofErr w:type="spellEnd"/>
      <w:r w:rsidRPr="00995F26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LBO, in: </w:t>
      </w:r>
      <w:proofErr w:type="spellStart"/>
      <w:r w:rsidRPr="00995F26">
        <w:rPr>
          <w:rFonts w:ascii="TimesNewRoman" w:eastAsia="Times New Roman" w:hAnsi="TimesNewRoman" w:cs="Times New Roman"/>
          <w:iCs/>
          <w:color w:val="000000"/>
          <w:lang w:val="en-US" w:eastAsia="de-CH"/>
        </w:rPr>
        <w:t>Tschäni</w:t>
      </w:r>
      <w:proofErr w:type="spellEnd"/>
      <w:r w:rsidRPr="00995F26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Rudolf (</w:t>
      </w:r>
      <w:r w:rsidR="00093DEB">
        <w:rPr>
          <w:rFonts w:ascii="TimesNewRoman" w:eastAsia="Times New Roman" w:hAnsi="TimesNewRoman" w:cs="Times New Roman"/>
          <w:iCs/>
          <w:color w:val="000000"/>
          <w:lang w:val="en-US" w:eastAsia="de-CH"/>
        </w:rPr>
        <w:t>ed.</w:t>
      </w:r>
      <w:r w:rsidRPr="00995F26">
        <w:rPr>
          <w:rFonts w:ascii="TimesNewRoman" w:eastAsia="Times New Roman" w:hAnsi="TimesNewRoman" w:cs="Times New Roman"/>
          <w:iCs/>
          <w:color w:val="000000"/>
          <w:lang w:val="en-US" w:eastAsia="de-CH"/>
        </w:rPr>
        <w:t>), Mergers &amp; Acquisitions</w:t>
      </w:r>
      <w:r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XVI, Zürich/Basel/Genf 2014, 55</w:t>
      </w:r>
      <w:r w:rsidR="00341EB1">
        <w:rPr>
          <w:rFonts w:ascii="TimesNewRoman" w:eastAsia="Times New Roman" w:hAnsi="TimesNewRoman" w:cs="Times New Roman"/>
          <w:iCs/>
          <w:color w:val="000000"/>
          <w:lang w:val="en-US" w:eastAsia="de-CH"/>
        </w:rPr>
        <w:t xml:space="preserve"> et seq</w:t>
      </w:r>
      <w:r>
        <w:rPr>
          <w:rFonts w:ascii="TimesNewRoman" w:eastAsia="Times New Roman" w:hAnsi="TimesNewRoman" w:cs="Times New Roman"/>
          <w:iCs/>
          <w:color w:val="000000"/>
          <w:lang w:val="en-US" w:eastAsia="de-CH"/>
        </w:rPr>
        <w:t>.</w:t>
      </w:r>
    </w:p>
    <w:p w14:paraId="41E07D92" w14:textId="77777777" w:rsidR="00214DD1" w:rsidRPr="00995F26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val="en-US" w:eastAsia="de-CH"/>
        </w:rPr>
      </w:pPr>
    </w:p>
    <w:p w14:paraId="5C3E3410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Diem Hans-Jakob, Vorbereitung auf die Publikumsgesellschaft, in: Reutter Thomas</w:t>
      </w:r>
      <w:r>
        <w:rPr>
          <w:rFonts w:ascii="TimesNewRoman" w:eastAsia="Times New Roman" w:hAnsi="TimesNewRoman" w:cs="Times New Roman"/>
          <w:color w:val="000000"/>
          <w:lang w:eastAsia="de-CH"/>
        </w:rPr>
        <w:t>/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Werlen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Thomas, 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>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eds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 xml:space="preserve">.),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Kapitalmarkttransaktionen VIII</w:t>
      </w:r>
      <w:r>
        <w:rPr>
          <w:rFonts w:ascii="TimesNewRoman" w:eastAsia="Times New Roman" w:hAnsi="TimesNewRoman" w:cs="Times New Roman"/>
          <w:color w:val="000000"/>
          <w:lang w:eastAsia="de-CH"/>
        </w:rPr>
        <w:t>, Zürich/Basel/Genf 2014, 69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 xml:space="preserve"> et seq</w:t>
      </w:r>
      <w:r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59602479" w14:textId="77777777" w:rsidR="00214DD1" w:rsidRPr="00176000" w:rsidRDefault="00214DD1" w:rsidP="005B5E18">
      <w:pPr>
        <w:spacing w:line="240" w:lineRule="auto"/>
        <w:rPr>
          <w:rFonts w:ascii="TimesNewRoman" w:eastAsia="Times New Roman" w:hAnsi="TimesNewRoman" w:cs="Times New Roman"/>
          <w:iCs/>
          <w:color w:val="000000"/>
          <w:lang w:eastAsia="de-CH"/>
        </w:rPr>
      </w:pPr>
    </w:p>
    <w:p w14:paraId="58642DEB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 Rudolf/Diem Hans-Jakob/Wolf Matthias, M&amp;A-Transaktionen nach Schweizer Recht,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>2</w:t>
      </w:r>
      <w:r w:rsidR="00341EB1" w:rsidRPr="0035717D">
        <w:rPr>
          <w:rFonts w:ascii="TimesNewRoman" w:eastAsia="Times New Roman" w:hAnsi="TimesNewRoman" w:cs="Times New Roman"/>
          <w:color w:val="000000"/>
          <w:vertAlign w:val="superscript"/>
          <w:lang w:eastAsia="de-CH"/>
        </w:rPr>
        <w:t>nd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, Zürich 2013.</w:t>
      </w:r>
    </w:p>
    <w:p w14:paraId="164262CC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0BD4D819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Tschäni Rudolf/Diem Hans-Jakob, Vollzug von Aktienkäufen, in: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Rudolf 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),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Mergers &amp; Acquisitions XV, Zürich/Basel/Genf 2013, 91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7F72DC1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74727A94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Diem Hans-Jakob/Scherrer Stefan, Voraussetzungen der übernahmerechtlichen Gültigkeit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nachträglicher Opting-Outs, Gesellschafts- und Kapitalmarktrecht GesKR 2013, 117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66D57553" w14:textId="77777777" w:rsidR="004631A8" w:rsidRDefault="004631A8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2602F13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  <w:r w:rsidRPr="00F511C0">
        <w:rPr>
          <w:rFonts w:ascii="TimesNewRoman" w:eastAsia="Times New Roman" w:hAnsi="TimesNewRoman" w:cs="Times New Roman"/>
          <w:color w:val="000000"/>
          <w:lang w:val="en-US" w:eastAsia="de-CH"/>
        </w:rPr>
        <w:t>Iffland Jacques/Diem Hans-Jakob, Mergers &amp; Acquisitions 2013, The International Comparative Legal Guide to Mergers &amp; Acquisitions 2013, 275</w:t>
      </w:r>
      <w:r w:rsidR="00341EB1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et seq</w:t>
      </w:r>
      <w:r w:rsidRPr="00F511C0">
        <w:rPr>
          <w:rFonts w:ascii="TimesNewRoman" w:eastAsia="Times New Roman" w:hAnsi="TimesNewRoman" w:cs="Times New Roman"/>
          <w:color w:val="000000"/>
          <w:lang w:val="en-US" w:eastAsia="de-CH"/>
        </w:rPr>
        <w:t>.</w:t>
      </w:r>
    </w:p>
    <w:p w14:paraId="59EC41FD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</w:p>
    <w:p w14:paraId="57AC688A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>Diem Hans-Jakob, Proposed Abolishment of Control Premiums in Public Tender Offers, Swiss</w:t>
      </w:r>
      <w:r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Capital Markets Law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>CapLaw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2/2012, 16</w:t>
      </w:r>
      <w:r w:rsidR="00341EB1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>.</w:t>
      </w:r>
    </w:p>
    <w:p w14:paraId="0C3369FA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</w:p>
    <w:p w14:paraId="2B754841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lastRenderedPageBreak/>
        <w:t>Iffland Jacques/Diem Hans-Jakob, Mergers &amp; Acquisitions 2012, The International Comparative</w:t>
      </w:r>
      <w:r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>Legal Guide to Mergers &amp; Acquisitions 2012, 259</w:t>
      </w:r>
      <w:r w:rsidR="00341EB1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>.</w:t>
      </w:r>
    </w:p>
    <w:p w14:paraId="4D61B470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</w:p>
    <w:p w14:paraId="385409D3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>Diem Hans-Jakob, Firm Sales vs. Irrevocable Tender Undertakings in Public Tender Offers, Swiss</w:t>
      </w:r>
      <w:r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Capital Markets Law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>CapLaw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2/2011, 6</w:t>
      </w:r>
      <w:r w:rsidR="00341EB1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val="en-US" w:eastAsia="de-CH"/>
        </w:rPr>
        <w:t>.</w:t>
      </w:r>
    </w:p>
    <w:p w14:paraId="0B09B507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</w:p>
    <w:p w14:paraId="0E728B10" w14:textId="77777777" w:rsidR="00214DD1" w:rsidRPr="00093DEB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  <w:r w:rsidRPr="00093DEB">
        <w:rPr>
          <w:rFonts w:ascii="TimesNewRoman" w:eastAsia="Times New Roman" w:hAnsi="TimesNewRoman" w:cs="Times New Roman"/>
          <w:color w:val="000000"/>
          <w:lang w:val="en-US" w:eastAsia="de-CH"/>
        </w:rPr>
        <w:t>Iffland Jacques/Diem Hans-Jakob, Mergers &amp; Acquisitions 2011, The International Comparative Legal Guide to Mergers &amp; Acquisitions 2012, 251</w:t>
      </w:r>
      <w:r w:rsidR="00341EB1" w:rsidRPr="00093DEB">
        <w:rPr>
          <w:rFonts w:ascii="TimesNewRoman" w:eastAsia="Times New Roman" w:hAnsi="TimesNewRoman" w:cs="Times New Roman"/>
          <w:color w:val="000000"/>
          <w:lang w:val="en-US" w:eastAsia="de-CH"/>
        </w:rPr>
        <w:t xml:space="preserve"> et seq</w:t>
      </w:r>
      <w:r w:rsidRPr="00093DEB">
        <w:rPr>
          <w:rFonts w:ascii="TimesNewRoman" w:eastAsia="Times New Roman" w:hAnsi="TimesNewRoman" w:cs="Times New Roman"/>
          <w:color w:val="000000"/>
          <w:lang w:val="en-US" w:eastAsia="de-CH"/>
        </w:rPr>
        <w:t>.</w:t>
      </w:r>
    </w:p>
    <w:p w14:paraId="5B4D9D28" w14:textId="77777777" w:rsidR="00214DD1" w:rsidRPr="00093DEB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val="en-US" w:eastAsia="de-CH"/>
        </w:rPr>
      </w:pPr>
    </w:p>
    <w:p w14:paraId="4B92F826" w14:textId="77777777" w:rsidR="00214DD1" w:rsidRPr="00690209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690209">
        <w:rPr>
          <w:rFonts w:ascii="TimesNewRoman" w:eastAsia="Times New Roman" w:hAnsi="TimesNewRoman" w:cs="Times New Roman"/>
          <w:color w:val="000000"/>
          <w:lang w:eastAsia="de-CH"/>
        </w:rPr>
        <w:t>Diem Hans-Jakob/Erni Stephan, «</w:t>
      </w:r>
      <w:proofErr w:type="spellStart"/>
      <w:r w:rsidRPr="00690209">
        <w:rPr>
          <w:rFonts w:ascii="TimesNewRoman" w:eastAsia="Times New Roman" w:hAnsi="TimesNewRoman" w:cs="Times New Roman"/>
          <w:color w:val="000000"/>
          <w:lang w:eastAsia="de-CH"/>
        </w:rPr>
        <w:t>Locked</w:t>
      </w:r>
      <w:proofErr w:type="spellEnd"/>
      <w:r w:rsidRPr="00690209">
        <w:rPr>
          <w:rFonts w:ascii="TimesNewRoman" w:eastAsia="Times New Roman" w:hAnsi="TimesNewRoman" w:cs="Times New Roman"/>
          <w:color w:val="000000"/>
          <w:lang w:eastAsia="de-CH"/>
        </w:rPr>
        <w:t xml:space="preserve"> Box» beim Unternehmenskauf – Ein (vergangener) Trend oder </w:t>
      </w:r>
      <w:proofErr w:type="gramStart"/>
      <w:r w:rsidRPr="00690209">
        <w:rPr>
          <w:rFonts w:ascii="TimesNewRoman" w:eastAsia="Times New Roman" w:hAnsi="TimesNewRoman" w:cs="Times New Roman"/>
          <w:color w:val="000000"/>
          <w:lang w:eastAsia="de-CH"/>
        </w:rPr>
        <w:t>mehr?,</w:t>
      </w:r>
      <w:proofErr w:type="gramEnd"/>
      <w:r w:rsidRPr="00690209">
        <w:rPr>
          <w:rFonts w:ascii="TimesNewRoman" w:eastAsia="Times New Roman" w:hAnsi="TimesNewRoman" w:cs="Times New Roman"/>
          <w:color w:val="000000"/>
          <w:lang w:eastAsia="de-CH"/>
        </w:rPr>
        <w:t xml:space="preserve"> Gesellschafts- und Kapitalmarktrecht </w:t>
      </w:r>
      <w:proofErr w:type="spellStart"/>
      <w:r w:rsidRPr="00690209">
        <w:rPr>
          <w:rFonts w:ascii="TimesNewRoman" w:eastAsia="Times New Roman" w:hAnsi="TimesNewRoman" w:cs="Times New Roman"/>
          <w:color w:val="000000"/>
          <w:lang w:eastAsia="de-CH"/>
        </w:rPr>
        <w:t>GesKR</w:t>
      </w:r>
      <w:proofErr w:type="spellEnd"/>
      <w:r w:rsidRPr="00690209">
        <w:rPr>
          <w:rFonts w:ascii="TimesNewRoman" w:eastAsia="Times New Roman" w:hAnsi="TimesNewRoman" w:cs="Times New Roman"/>
          <w:color w:val="000000"/>
          <w:lang w:eastAsia="de-CH"/>
        </w:rPr>
        <w:t xml:space="preserve"> 2010, 354</w:t>
      </w:r>
      <w:r w:rsidR="00341EB1" w:rsidRPr="00690209">
        <w:rPr>
          <w:rFonts w:ascii="TimesNewRoman" w:eastAsia="Times New Roman" w:hAnsi="TimesNewRoman" w:cs="Times New Roman"/>
          <w:color w:val="000000"/>
          <w:lang w:eastAsia="de-CH"/>
        </w:rPr>
        <w:t xml:space="preserve"> et seq</w:t>
      </w:r>
      <w:r w:rsidRPr="00690209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6046A3DE" w14:textId="77777777" w:rsidR="00214DD1" w:rsidRPr="00690209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1109623A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Oertle Matthias/Wolf Matthias/Breitenstein Stefan/Diem Hans-Jakob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 xml:space="preserve"> 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.)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, M&amp;A-Recht und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Wirtschaft in der Praxis, Liber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Amicorum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für Rudolf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, Zürich 2010.</w:t>
      </w:r>
    </w:p>
    <w:p w14:paraId="300A1819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0E4B466F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Iffland Jacques/Diem Hans-Jakob, De la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prohibition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des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conditions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potestatives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à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celle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des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conditions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inéquitables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, in: Oertle Matthias/Wolf Matthias/Breitenstein Stefan/Diem Hans-Jakob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), M&amp;A-Recht und Wirtschaft in der Praxis, Liber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Amicorum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für Rudolf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,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Zürich 2010, 251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78D9D182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5747697A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Tschäni Rudolf/Iffland Jacques/Diem Hans-Jakob, Öffentliche Kaufangebote, 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>2</w:t>
      </w:r>
      <w:r w:rsidR="00341EB1" w:rsidRPr="0035717D">
        <w:rPr>
          <w:rFonts w:ascii="TimesNewRoman" w:eastAsia="Times New Roman" w:hAnsi="TimesNewRoman" w:cs="Times New Roman"/>
          <w:color w:val="000000"/>
          <w:vertAlign w:val="superscript"/>
          <w:lang w:eastAsia="de-CH"/>
        </w:rPr>
        <w:t>nd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,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Zürich/Basel/Genf 2010.</w:t>
      </w:r>
    </w:p>
    <w:p w14:paraId="69A653E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2CED6B9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 Rudolf/Iffland Jacques/Diem Hans-Jakob, Art. 2 lit. e, Art. 22–30 und Art. 42 BEHG, in: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Watter Rolf/Vogt Nedim Peter 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eds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), Basler Kommentar zum Börsengesetz und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Finanzma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>rktaufsichtsgesetz, Basel 2010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2B45027B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117CE9E0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 Rudolf/Diem Hans-Jakob/Wolf Matthias, Das revidierte Recht der öffentlichen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Kaufangebote, Gesellschafts- und Kapitalmarktrecht GesKR 2009, 87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0024EAE7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2354600F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Tschäni Rudolf/Diem Hans-Jakob, Das Defence- bzw. M&amp;A-Manual, in: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Rudolf 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),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Mergers &amp; Acquisitions X, Zürich/Basel/Genf 2008, 97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76F5E581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52728E15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 Rudolf/Iffland Jacques/Diem Hans-Jakob, Öffentliche Kaufangebote,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>Zürich/Basel/Genf 2007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0FC19E2A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11DD5F44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 Rudolf/Iffland Jacques/Diem Hans-Jakob, Art. 2 lit. e, Art. 22–30 und Art. 42 BEHG, in: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Watter Rolf/Vogt Nedim Peter 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eds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), Basler Kommentar zum Börsengesetz, Art. 161, 16</w:t>
      </w:r>
      <w:r>
        <w:rPr>
          <w:rFonts w:ascii="TimesNewRoman" w:eastAsia="Times New Roman" w:hAnsi="TimesNewRoman" w:cs="Times New Roman"/>
          <w:color w:val="000000"/>
          <w:lang w:eastAsia="de-CH"/>
        </w:rPr>
        <w:t>1</w:t>
      </w:r>
      <w:r w:rsidRPr="00C64B5E">
        <w:rPr>
          <w:rFonts w:ascii="TimesNewRoman" w:eastAsia="Times New Roman" w:hAnsi="TimesNewRoman" w:cs="Times New Roman"/>
          <w:color w:val="000000"/>
          <w:vertAlign w:val="superscript"/>
          <w:lang w:eastAsia="de-CH"/>
        </w:rPr>
        <w:t>bis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,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305</w:t>
      </w:r>
      <w:r w:rsidRPr="00C64B5E">
        <w:rPr>
          <w:rFonts w:ascii="TimesNewRoman" w:eastAsia="Times New Roman" w:hAnsi="TimesNewRoman" w:cs="Times New Roman"/>
          <w:color w:val="000000"/>
          <w:vertAlign w:val="superscript"/>
          <w:lang w:eastAsia="de-CH"/>
        </w:rPr>
        <w:t>bis</w:t>
      </w:r>
      <w:r w:rsidRPr="005E3FC6">
        <w:rPr>
          <w:rFonts w:ascii="TimesNewRoman" w:eastAsia="Times New Roman" w:hAnsi="TimesNewRoman" w:cs="Times New Roman"/>
          <w:color w:val="000000"/>
          <w:sz w:val="14"/>
          <w:szCs w:val="14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und 305</w:t>
      </w:r>
      <w:r w:rsidRPr="00C64B5E">
        <w:rPr>
          <w:rFonts w:ascii="TimesNewRoman" w:eastAsia="Times New Roman" w:hAnsi="TimesNewRoman" w:cs="Times New Roman"/>
          <w:color w:val="000000"/>
          <w:vertAlign w:val="superscript"/>
          <w:lang w:eastAsia="de-CH"/>
        </w:rPr>
        <w:t>ter</w:t>
      </w:r>
      <w:r w:rsidRPr="005E3FC6">
        <w:rPr>
          <w:rFonts w:ascii="TimesNewRoman" w:eastAsia="Times New Roman" w:hAnsi="TimesNewRoman" w:cs="Times New Roman"/>
          <w:color w:val="000000"/>
          <w:sz w:val="14"/>
          <w:szCs w:val="14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Strafgesetzbuch, Basel 2007.</w:t>
      </w:r>
    </w:p>
    <w:p w14:paraId="749C7B68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32373E77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 Rudolf/Diem Hans-Jakob, Übernahmekämpfe, Gesellschafts- und Kapitalmarktrecht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>GesKR 2006, 54 et seq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0C643479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7B3DC63E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 Rudolf/Diem Hans-Jakob, Die Pflichten des Verwaltungsrates der Zielgesellschaft bei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Übernahmeangeboten, in: </w:t>
      </w:r>
      <w:proofErr w:type="spellStart"/>
      <w:r w:rsidRPr="005E3FC6">
        <w:rPr>
          <w:rFonts w:ascii="TimesNewRoman" w:eastAsia="Times New Roman" w:hAnsi="TimesNewRoman" w:cs="Times New Roman"/>
          <w:color w:val="000000"/>
          <w:lang w:eastAsia="de-CH"/>
        </w:rPr>
        <w:t>Tschäni</w:t>
      </w:r>
      <w:proofErr w:type="spellEnd"/>
      <w:r w:rsidRPr="005E3FC6">
        <w:rPr>
          <w:rFonts w:ascii="TimesNewRoman" w:eastAsia="Times New Roman" w:hAnsi="TimesNewRoman" w:cs="Times New Roman"/>
          <w:color w:val="000000"/>
          <w:lang w:eastAsia="de-CH"/>
        </w:rPr>
        <w:t xml:space="preserve"> Rudolf (</w:t>
      </w:r>
      <w:proofErr w:type="spellStart"/>
      <w:r w:rsidR="00093DEB">
        <w:rPr>
          <w:rFonts w:ascii="TimesNewRoman" w:eastAsia="Times New Roman" w:hAnsi="TimesNewRoman" w:cs="Times New Roman"/>
          <w:color w:val="000000"/>
          <w:lang w:eastAsia="de-CH"/>
        </w:rPr>
        <w:t>ed</w:t>
      </w:r>
      <w:proofErr w:type="spellEnd"/>
      <w:r w:rsidR="00093DEB">
        <w:rPr>
          <w:rFonts w:ascii="TimesNewRoman" w:eastAsia="Times New Roman" w:hAnsi="TimesNewRoman" w:cs="Times New Roman"/>
          <w:color w:val="000000"/>
          <w:lang w:eastAsia="de-CH"/>
        </w:rPr>
        <w:t>.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), Mergers &amp; Acquisitions VII,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Zürich/Basel/Genf 2005, 51</w:t>
      </w:r>
      <w:r w:rsidR="00093DEB">
        <w:rPr>
          <w:rFonts w:ascii="TimesNewRoman" w:eastAsia="Times New Roman" w:hAnsi="TimesNewRoman" w:cs="Times New Roman"/>
          <w:color w:val="000000"/>
          <w:lang w:eastAsia="de-CH"/>
        </w:rPr>
        <w:t xml:space="preserve"> et seq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.</w:t>
      </w:r>
    </w:p>
    <w:p w14:paraId="0BEB32E3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</w:p>
    <w:p w14:paraId="590BD367" w14:textId="77777777" w:rsidR="00214DD1" w:rsidRDefault="00214DD1" w:rsidP="005B5E18">
      <w:pPr>
        <w:spacing w:line="240" w:lineRule="auto"/>
        <w:rPr>
          <w:rFonts w:ascii="TimesNewRoman" w:eastAsia="Times New Roman" w:hAnsi="TimesNewRoman" w:cs="Times New Roman"/>
          <w:color w:val="000000"/>
          <w:lang w:eastAsia="de-CH"/>
        </w:rPr>
      </w:pPr>
      <w:r w:rsidRPr="005E3FC6">
        <w:rPr>
          <w:rFonts w:ascii="TimesNewRoman" w:eastAsia="Times New Roman" w:hAnsi="TimesNewRoman" w:cs="Times New Roman"/>
          <w:color w:val="000000"/>
          <w:lang w:eastAsia="de-CH"/>
        </w:rPr>
        <w:t>Diem Hans-Jakob, Art. 9–11 FusG, in: Watter Rolf/Vogt Nedim Peter/Tschäni Rudolf/Daeniker</w:t>
      </w:r>
      <w:r>
        <w:rPr>
          <w:rFonts w:ascii="TimesNewRoman" w:eastAsia="Times New Roman" w:hAnsi="TimesNewRoman" w:cs="Times New Roman"/>
          <w:color w:val="000000"/>
          <w:lang w:eastAsia="de-CH"/>
        </w:rPr>
        <w:t xml:space="preserve"> 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Daniel (</w:t>
      </w:r>
      <w:r w:rsidR="00341EB1">
        <w:rPr>
          <w:rFonts w:ascii="TimesNewRoman" w:eastAsia="Times New Roman" w:hAnsi="TimesNewRoman" w:cs="Times New Roman"/>
          <w:color w:val="000000"/>
          <w:lang w:eastAsia="de-CH"/>
        </w:rPr>
        <w:t>Editor</w:t>
      </w:r>
      <w:r w:rsidRPr="005E3FC6">
        <w:rPr>
          <w:rFonts w:ascii="TimesNewRoman" w:eastAsia="Times New Roman" w:hAnsi="TimesNewRoman" w:cs="Times New Roman"/>
          <w:color w:val="000000"/>
          <w:lang w:eastAsia="de-CH"/>
        </w:rPr>
        <w:t>), Basler Kommentar zum Fusionsgesetz, Basel 2004.</w:t>
      </w:r>
    </w:p>
    <w:sectPr w:rsidR="00214DD1" w:rsidSect="00454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0A2C" w14:textId="77777777" w:rsidR="005E3FC6" w:rsidRDefault="005E3FC6" w:rsidP="005E3FC6">
      <w:pPr>
        <w:spacing w:line="240" w:lineRule="auto"/>
      </w:pPr>
      <w:r>
        <w:separator/>
      </w:r>
    </w:p>
  </w:endnote>
  <w:endnote w:type="continuationSeparator" w:id="0">
    <w:p w14:paraId="4BE33504" w14:textId="77777777" w:rsidR="005E3FC6" w:rsidRDefault="005E3FC6" w:rsidP="005E3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D00" w14:textId="77777777" w:rsidR="00690209" w:rsidRDefault="00690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2327" w14:textId="77777777" w:rsidR="00690209" w:rsidRDefault="00690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4EDF" w14:textId="77777777" w:rsidR="00690209" w:rsidRDefault="00690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25F8" w14:textId="77777777" w:rsidR="005E3FC6" w:rsidRDefault="005E3FC6" w:rsidP="005E3FC6">
      <w:pPr>
        <w:spacing w:line="240" w:lineRule="auto"/>
      </w:pPr>
      <w:r>
        <w:separator/>
      </w:r>
    </w:p>
  </w:footnote>
  <w:footnote w:type="continuationSeparator" w:id="0">
    <w:p w14:paraId="6C986944" w14:textId="77777777" w:rsidR="005E3FC6" w:rsidRDefault="005E3FC6" w:rsidP="005E3F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B60" w14:textId="77777777" w:rsidR="00690209" w:rsidRDefault="00690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081043"/>
      <w:docPartObj>
        <w:docPartGallery w:val="Page Numbers (Top of Page)"/>
        <w:docPartUnique/>
      </w:docPartObj>
    </w:sdtPr>
    <w:sdtEndPr/>
    <w:sdtContent>
      <w:p w14:paraId="6FA385FA" w14:textId="1A11222A" w:rsidR="00214DD1" w:rsidRPr="00341EB1" w:rsidRDefault="00690209" w:rsidP="00690209">
        <w:pPr>
          <w:pStyle w:val="Header"/>
          <w:jc w:val="center"/>
        </w:pPr>
        <w:r>
          <w:t xml:space="preserve">- </w:t>
        </w:r>
        <w:r w:rsidR="00341EB1">
          <w:fldChar w:fldCharType="begin"/>
        </w:r>
        <w:r w:rsidR="00341EB1">
          <w:instrText>PAGE   \* MERGEFORMAT</w:instrText>
        </w:r>
        <w:r w:rsidR="00341EB1">
          <w:fldChar w:fldCharType="separate"/>
        </w:r>
        <w:r w:rsidR="008F4F15" w:rsidRPr="008F4F15">
          <w:rPr>
            <w:noProof/>
            <w:lang w:val="de-DE"/>
          </w:rPr>
          <w:t>3</w:t>
        </w:r>
        <w:r w:rsidR="00341EB1">
          <w:fldChar w:fldCharType="end"/>
        </w:r>
        <w:r>
          <w:t xml:space="preserve"> </w:t>
        </w:r>
        <w:r>
          <w:t>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1E0A" w14:textId="77777777" w:rsidR="00690209" w:rsidRDefault="00690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8EA"/>
    <w:multiLevelType w:val="hybridMultilevel"/>
    <w:tmpl w:val="603A163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71229"/>
    <w:multiLevelType w:val="hybridMultilevel"/>
    <w:tmpl w:val="DA72DBD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143423">
    <w:abstractNumId w:val="0"/>
  </w:num>
  <w:num w:numId="2" w16cid:durableId="206066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C6"/>
    <w:rsid w:val="000716DA"/>
    <w:rsid w:val="00093DEB"/>
    <w:rsid w:val="001434D0"/>
    <w:rsid w:val="001534BC"/>
    <w:rsid w:val="00156C5C"/>
    <w:rsid w:val="00171E3A"/>
    <w:rsid w:val="00176000"/>
    <w:rsid w:val="00214DD1"/>
    <w:rsid w:val="00245F70"/>
    <w:rsid w:val="00265139"/>
    <w:rsid w:val="00277A3F"/>
    <w:rsid w:val="002A555A"/>
    <w:rsid w:val="00341EB1"/>
    <w:rsid w:val="0035717D"/>
    <w:rsid w:val="00372D67"/>
    <w:rsid w:val="00382E53"/>
    <w:rsid w:val="003872ED"/>
    <w:rsid w:val="003C30FC"/>
    <w:rsid w:val="003E4E64"/>
    <w:rsid w:val="003F60BE"/>
    <w:rsid w:val="0040560A"/>
    <w:rsid w:val="004534EA"/>
    <w:rsid w:val="00454A0F"/>
    <w:rsid w:val="00460148"/>
    <w:rsid w:val="004631A8"/>
    <w:rsid w:val="0047065E"/>
    <w:rsid w:val="004C510C"/>
    <w:rsid w:val="005B5E18"/>
    <w:rsid w:val="005E3FC6"/>
    <w:rsid w:val="005F0230"/>
    <w:rsid w:val="00625D32"/>
    <w:rsid w:val="0066684B"/>
    <w:rsid w:val="00690209"/>
    <w:rsid w:val="006C2629"/>
    <w:rsid w:val="006C2901"/>
    <w:rsid w:val="006C5B49"/>
    <w:rsid w:val="006F1FBA"/>
    <w:rsid w:val="00763DA6"/>
    <w:rsid w:val="00765FB5"/>
    <w:rsid w:val="00791BFF"/>
    <w:rsid w:val="00793D7F"/>
    <w:rsid w:val="007C6CEB"/>
    <w:rsid w:val="008205D4"/>
    <w:rsid w:val="00836B3B"/>
    <w:rsid w:val="0086401F"/>
    <w:rsid w:val="008C79B3"/>
    <w:rsid w:val="008D4683"/>
    <w:rsid w:val="008F4F15"/>
    <w:rsid w:val="00981AB9"/>
    <w:rsid w:val="00995F26"/>
    <w:rsid w:val="00A06493"/>
    <w:rsid w:val="00A0700C"/>
    <w:rsid w:val="00A15EDF"/>
    <w:rsid w:val="00A2259C"/>
    <w:rsid w:val="00AE08AB"/>
    <w:rsid w:val="00B43239"/>
    <w:rsid w:val="00B550DA"/>
    <w:rsid w:val="00BB5F65"/>
    <w:rsid w:val="00BF1368"/>
    <w:rsid w:val="00C64B5E"/>
    <w:rsid w:val="00CA48B8"/>
    <w:rsid w:val="00D6423B"/>
    <w:rsid w:val="00E13A9D"/>
    <w:rsid w:val="00E477B7"/>
    <w:rsid w:val="00E52C7E"/>
    <w:rsid w:val="00E8008A"/>
    <w:rsid w:val="00EA490B"/>
    <w:rsid w:val="00EA6732"/>
    <w:rsid w:val="00EC0BE3"/>
    <w:rsid w:val="00F511C0"/>
    <w:rsid w:val="00F82D90"/>
    <w:rsid w:val="00FA7D5B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CF1B5EE"/>
  <w15:chartTrackingRefBased/>
  <w15:docId w15:val="{5BCCA8DF-CB9C-47C0-B74B-100EDD58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C6"/>
    <w:pPr>
      <w:spacing w:after="0" w:line="320" w:lineRule="exact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FC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C6"/>
  </w:style>
  <w:style w:type="paragraph" w:styleId="Footer">
    <w:name w:val="footer"/>
    <w:basedOn w:val="Normal"/>
    <w:link w:val="FooterChar"/>
    <w:uiPriority w:val="99"/>
    <w:unhideWhenUsed/>
    <w:rsid w:val="005E3FC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C6"/>
  </w:style>
  <w:style w:type="character" w:customStyle="1" w:styleId="fontstyle01">
    <w:name w:val="fontstyle01"/>
    <w:basedOn w:val="DefaultParagraphFont"/>
    <w:rsid w:val="005E3FC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5E3FC6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5E3FC6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E3FC6"/>
    <w:rPr>
      <w:color w:val="0563C1" w:themeColor="hyperlink"/>
      <w:u w:val="single"/>
    </w:rPr>
  </w:style>
  <w:style w:type="paragraph" w:customStyle="1" w:styleId="GoodwGS">
    <w:name w:val="GoodwGS"/>
    <w:basedOn w:val="Normal"/>
    <w:rsid w:val="00176000"/>
    <w:pPr>
      <w:tabs>
        <w:tab w:val="left" w:pos="425"/>
        <w:tab w:val="left" w:pos="567"/>
      </w:tabs>
      <w:spacing w:before="120" w:after="120" w:line="240" w:lineRule="exact"/>
      <w:jc w:val="both"/>
    </w:pPr>
    <w:rPr>
      <w:rFonts w:eastAsia="Times New Roman" w:cs="Times New Roman"/>
      <w:kern w:val="22"/>
      <w:sz w:val="20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B43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A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3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259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78D8-EC82-4C79-BCAD-CE7DF23F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6886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Lenz &amp; Staehelin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 Hans Jakob</dc:creator>
  <cp:keywords/>
  <dc:description/>
  <cp:lastModifiedBy>Diem Hans-Jakob</cp:lastModifiedBy>
  <cp:revision>2</cp:revision>
  <cp:lastPrinted>2023-03-14T13:49:00Z</cp:lastPrinted>
  <dcterms:created xsi:type="dcterms:W3CDTF">2023-09-20T08:43:00Z</dcterms:created>
  <dcterms:modified xsi:type="dcterms:W3CDTF">2023-09-20T08:43:00Z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-2138541014</vt:i4>
  </property>
  <property fmtid="{D5CDD505-2E9C-101B-9397-08002B2CF9AE}" pid="3" name="_NewReviewCycle">
    <vt:lpwstr/>
  </property>
  <property fmtid="{D5CDD505-2E9C-101B-9397-08002B2CF9AE}" pid="4" name="_EmailSubject">
    <vt:lpwstr>Änderungen Hans-Jakob Diem</vt:lpwstr>
  </property>
  <property fmtid="{D5CDD505-2E9C-101B-9397-08002B2CF9AE}" pid="5" name="_AuthorEmail">
    <vt:lpwstr>jana.haener@walderwyss.com</vt:lpwstr>
  </property>
  <property fmtid="{D5CDD505-2E9C-101B-9397-08002B2CF9AE}" pid="6" name="_AuthorEmailDisplayName">
    <vt:lpwstr>Haener Jana</vt:lpwstr>
  </property>
  <property fmtid="{D5CDD505-2E9C-101B-9397-08002B2CF9AE}" pid="7" name="_PreviousAdHocReviewCycleID">
    <vt:i4>-1189564999</vt:i4>
  </property>
</Properties>
</file>